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каждой возрастной группе имеются дидактические игры, пособия, игрушки, методическая и художественная литература, необходимые для организации разных видов деятельности детей, в том числе приспособленные для использования инвалидами и лицами с ограниченными возможностями здоровья.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Для организации конструктивной деятельности детей в каждой группе помимо различных наборов настольных конструкторов используются тактильные и крупногабаритные современные конструкторы.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группах используется компьютер, что обеспечивает доступ к информационным системам и информационно-коммуникационным сетям, в том числе инвалидам и лицам с ограниченными возможностями здоровья.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образовательном процессе используются электронные образовательные ресурсы, к которым обеспечивается доступ воспитанников, в том числе приспособленные для использования инвалидами и лицами с ограниченными возможностями здоровья.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Предметно-развивающая среда в групповых помещениях, обеспечивает реализацию основной образовательной программы 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физическому, социально-личностному, познавательному, речевому и художественно-эстетическому, а так же совместную деятельность взрослого и ребенка и свободную самостоятельную деятельность самих детей.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